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D26FB" w:rsidRDefault="00DD26FB" w:rsidP="00DD26FB">
      <w:pPr>
        <w:spacing w:after="0"/>
        <w:ind w:left="-1440" w:right="10694"/>
      </w:pPr>
    </w:p>
    <w:p w:rsidR="00DD26FB" w:rsidRDefault="00DD26FB" w:rsidP="00DD26FB">
      <w:pPr>
        <w:rPr>
          <w:sz w:val="36"/>
        </w:rPr>
      </w:pPr>
    </w:p>
    <w:p w:rsidR="00DD26FB" w:rsidRDefault="00DD26FB" w:rsidP="00DD26FB">
      <w:pPr>
        <w:rPr>
          <w:sz w:val="36"/>
        </w:rPr>
      </w:pPr>
    </w:p>
    <w:p w:rsidR="00DD26FB" w:rsidRDefault="00DD26FB" w:rsidP="00DD26FB">
      <w:pPr>
        <w:jc w:val="center"/>
        <w:rPr>
          <w:sz w:val="36"/>
        </w:rPr>
      </w:pPr>
      <w:r>
        <w:rPr>
          <w:noProof/>
          <w:sz w:val="36"/>
          <w:lang w:eastAsia="es-GT"/>
        </w:rPr>
        <w:drawing>
          <wp:inline distT="0" distB="0" distL="0" distR="0" wp14:anchorId="770E41AC" wp14:editId="78FA6183">
            <wp:extent cx="3101340" cy="1303020"/>
            <wp:effectExtent l="0" t="0" r="381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340" cy="130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D26FB" w:rsidRDefault="00DD26FB" w:rsidP="00DD26FB">
      <w:pPr>
        <w:rPr>
          <w:sz w:val="36"/>
        </w:rPr>
      </w:pPr>
    </w:p>
    <w:p w:rsidR="00DD26FB" w:rsidRDefault="00DD26FB" w:rsidP="00DD26FB">
      <w:pPr>
        <w:rPr>
          <w:sz w:val="36"/>
        </w:rPr>
      </w:pPr>
    </w:p>
    <w:p w:rsidR="00DD26FB" w:rsidRDefault="00DD26FB" w:rsidP="00DD26FB">
      <w:pPr>
        <w:rPr>
          <w:sz w:val="36"/>
        </w:rPr>
      </w:pPr>
      <w:r w:rsidRPr="00BE3C1E">
        <w:rPr>
          <w:noProof/>
          <w:sz w:val="36"/>
          <w:lang w:eastAsia="es-G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87BCC83" wp14:editId="0061830D">
                <wp:simplePos x="0" y="0"/>
                <wp:positionH relativeFrom="column">
                  <wp:posOffset>-233045</wp:posOffset>
                </wp:positionH>
                <wp:positionV relativeFrom="paragraph">
                  <wp:posOffset>332740</wp:posOffset>
                </wp:positionV>
                <wp:extent cx="6343650" cy="1794510"/>
                <wp:effectExtent l="0" t="0" r="0" b="0"/>
                <wp:wrapNone/>
                <wp:docPr id="2" name="Título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6343650" cy="17945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607BA" w:rsidRPr="00E77F1F" w:rsidRDefault="00D607BA" w:rsidP="00DD26FB">
                            <w:pPr>
                              <w:pStyle w:val="NormalWeb"/>
                              <w:spacing w:before="0" w:beforeAutospacing="0" w:after="0" w:afterAutospacing="0" w:line="216" w:lineRule="auto"/>
                              <w:jc w:val="center"/>
                              <w:rPr>
                                <w:rFonts w:asciiTheme="majorHAnsi" w:eastAsiaTheme="majorEastAsia" w:hAnsi="Calibri Light" w:cstheme="majorBidi"/>
                                <w:bCs/>
                                <w:color w:val="000000" w:themeColor="text1"/>
                                <w:kern w:val="24"/>
                                <w:sz w:val="60"/>
                                <w:szCs w:val="60"/>
                              </w:rPr>
                            </w:pPr>
                            <w:r w:rsidRPr="00E77F1F">
                              <w:rPr>
                                <w:rFonts w:asciiTheme="majorHAnsi" w:eastAsiaTheme="majorEastAsia" w:hAnsi="Calibri Light" w:cstheme="majorBidi"/>
                                <w:bCs/>
                                <w:color w:val="000000" w:themeColor="text1"/>
                                <w:kern w:val="24"/>
                                <w:sz w:val="60"/>
                                <w:szCs w:val="60"/>
                              </w:rPr>
                              <w:t xml:space="preserve">Procedimiento de </w:t>
                            </w:r>
                          </w:p>
                          <w:p w:rsidR="00DD26FB" w:rsidRPr="00E77F1F" w:rsidRDefault="00E77F1F" w:rsidP="00DD26FB">
                            <w:pPr>
                              <w:pStyle w:val="NormalWeb"/>
                              <w:spacing w:before="0" w:beforeAutospacing="0" w:after="0" w:afterAutospacing="0" w:line="216" w:lineRule="auto"/>
                              <w:jc w:val="center"/>
                              <w:rPr>
                                <w:sz w:val="60"/>
                                <w:szCs w:val="60"/>
                              </w:rPr>
                            </w:pPr>
                            <w:r w:rsidRPr="00E77F1F">
                              <w:rPr>
                                <w:rFonts w:asciiTheme="majorHAnsi" w:eastAsiaTheme="majorEastAsia" w:hAnsi="Calibri Light" w:cstheme="majorBidi"/>
                                <w:bCs/>
                                <w:color w:val="000000" w:themeColor="text1"/>
                                <w:kern w:val="24"/>
                                <w:sz w:val="60"/>
                                <w:szCs w:val="60"/>
                              </w:rPr>
                              <w:t>Apertura, Registro y Cancelaci</w:t>
                            </w:r>
                            <w:r w:rsidRPr="00E77F1F">
                              <w:rPr>
                                <w:rFonts w:asciiTheme="majorHAnsi" w:eastAsiaTheme="majorEastAsia" w:hAnsi="Calibri Light" w:cstheme="majorBidi"/>
                                <w:bCs/>
                                <w:color w:val="000000" w:themeColor="text1"/>
                                <w:kern w:val="24"/>
                                <w:sz w:val="60"/>
                                <w:szCs w:val="60"/>
                              </w:rPr>
                              <w:t>ó</w:t>
                            </w:r>
                            <w:r w:rsidRPr="00E77F1F">
                              <w:rPr>
                                <w:rFonts w:asciiTheme="majorHAnsi" w:eastAsiaTheme="majorEastAsia" w:hAnsi="Calibri Light" w:cstheme="majorBidi"/>
                                <w:bCs/>
                                <w:color w:val="000000" w:themeColor="text1"/>
                                <w:kern w:val="24"/>
                                <w:sz w:val="60"/>
                                <w:szCs w:val="60"/>
                              </w:rPr>
                              <w:t>n de Cuentas Bancarias</w:t>
                            </w:r>
                          </w:p>
                        </w:txbxContent>
                      </wps:txbx>
                      <wps:bodyPr vert="horz" lIns="91440" tIns="45720" rIns="91440" bIns="45720" rtlCol="0" anchor="b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87BCC83" id="Título 1" o:spid="_x0000_s1026" style="position:absolute;margin-left:-18.35pt;margin-top:26.2pt;width:499.5pt;height:141.3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" filled="f" stroked="f">
                <v:path arrowok="t"/>
                <o:lock v:ext="edit" grouping="t"/>
                <v:textbox>
                  <w:txbxContent>
                    <w:p w:rsidR="00D607BA" w:rsidRPr="00E77F1F" w:rsidRDefault="00D607BA" w:rsidP="00DD26FB">
                      <w:pPr>
                        <w:pStyle w:val="NormalWeb"/>
                        <w:spacing w:before="0" w:beforeAutospacing="0" w:after="0" w:afterAutospacing="0" w:line="216" w:lineRule="auto"/>
                        <w:jc w:val="center"/>
                        <w:rPr>
                          <w:rFonts w:asciiTheme="majorHAnsi" w:eastAsiaTheme="majorEastAsia" w:hAnsi="Calibri Light" w:cstheme="majorBidi"/>
                          <w:bCs/>
                          <w:color w:val="000000" w:themeColor="text1"/>
                          <w:kern w:val="24"/>
                          <w:sz w:val="60"/>
                          <w:szCs w:val="60"/>
                        </w:rPr>
                      </w:pPr>
                      <w:r w:rsidRPr="00E77F1F">
                        <w:rPr>
                          <w:rFonts w:asciiTheme="majorHAnsi" w:eastAsiaTheme="majorEastAsia" w:hAnsi="Calibri Light" w:cstheme="majorBidi"/>
                          <w:bCs/>
                          <w:color w:val="000000" w:themeColor="text1"/>
                          <w:kern w:val="24"/>
                          <w:sz w:val="60"/>
                          <w:szCs w:val="60"/>
                        </w:rPr>
                        <w:t xml:space="preserve">Procedimiento de </w:t>
                      </w:r>
                    </w:p>
                    <w:p w:rsidR="00DD26FB" w:rsidRPr="00E77F1F" w:rsidRDefault="00E77F1F" w:rsidP="00DD26FB">
                      <w:pPr>
                        <w:pStyle w:val="NormalWeb"/>
                        <w:spacing w:before="0" w:beforeAutospacing="0" w:after="0" w:afterAutospacing="0" w:line="216" w:lineRule="auto"/>
                        <w:jc w:val="center"/>
                        <w:rPr>
                          <w:sz w:val="60"/>
                          <w:szCs w:val="60"/>
                        </w:rPr>
                      </w:pPr>
                      <w:r w:rsidRPr="00E77F1F">
                        <w:rPr>
                          <w:rFonts w:asciiTheme="majorHAnsi" w:eastAsiaTheme="majorEastAsia" w:hAnsi="Calibri Light" w:cstheme="majorBidi"/>
                          <w:bCs/>
                          <w:color w:val="000000" w:themeColor="text1"/>
                          <w:kern w:val="24"/>
                          <w:sz w:val="60"/>
                          <w:szCs w:val="60"/>
                        </w:rPr>
                        <w:t>Apertura, Registro y Cancelaci</w:t>
                      </w:r>
                      <w:r w:rsidRPr="00E77F1F">
                        <w:rPr>
                          <w:rFonts w:asciiTheme="majorHAnsi" w:eastAsiaTheme="majorEastAsia" w:hAnsi="Calibri Light" w:cstheme="majorBidi"/>
                          <w:bCs/>
                          <w:color w:val="000000" w:themeColor="text1"/>
                          <w:kern w:val="24"/>
                          <w:sz w:val="60"/>
                          <w:szCs w:val="60"/>
                        </w:rPr>
                        <w:t>ó</w:t>
                      </w:r>
                      <w:r w:rsidRPr="00E77F1F">
                        <w:rPr>
                          <w:rFonts w:asciiTheme="majorHAnsi" w:eastAsiaTheme="majorEastAsia" w:hAnsi="Calibri Light" w:cstheme="majorBidi"/>
                          <w:bCs/>
                          <w:color w:val="000000" w:themeColor="text1"/>
                          <w:kern w:val="24"/>
                          <w:sz w:val="60"/>
                          <w:szCs w:val="60"/>
                        </w:rPr>
                        <w:t>n de Cuentas Bancarias</w:t>
                      </w:r>
                    </w:p>
                  </w:txbxContent>
                </v:textbox>
              </v:rect>
            </w:pict>
          </mc:Fallback>
        </mc:AlternateContent>
      </w:r>
    </w:p>
    <w:p w:rsidR="00DD26FB" w:rsidRDefault="00DD26FB" w:rsidP="00DD26FB">
      <w:pPr>
        <w:rPr>
          <w:sz w:val="36"/>
        </w:rPr>
      </w:pPr>
      <w:r w:rsidRPr="00BE3C1E">
        <w:rPr>
          <w:noProof/>
          <w:sz w:val="36"/>
          <w:lang w:eastAsia="es-GT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7ED4BCF" wp14:editId="258225FC">
                <wp:simplePos x="0" y="0"/>
                <wp:positionH relativeFrom="column">
                  <wp:posOffset>200660</wp:posOffset>
                </wp:positionH>
                <wp:positionV relativeFrom="paragraph">
                  <wp:posOffset>26035</wp:posOffset>
                </wp:positionV>
                <wp:extent cx="5628005" cy="0"/>
                <wp:effectExtent l="0" t="0" r="29845" b="19050"/>
                <wp:wrapNone/>
                <wp:docPr id="8" name="Conector rec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28005" cy="0"/>
                        </a:xfrm>
                        <a:prstGeom prst="line">
                          <a:avLst/>
                        </a:prstGeom>
                        <a:ln w="19050" cmpd="sng">
                          <a:solidFill>
                            <a:schemeClr val="bg1">
                              <a:lumMod val="50000"/>
                            </a:schemeClr>
                          </a:solidFill>
                          <a:round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0C053F0" id="Conector recto 7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.8pt,2.05pt" to="458.95pt,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" strokecolor="#7f7f7f [1612]" strokeweight="1.5pt"/>
            </w:pict>
          </mc:Fallback>
        </mc:AlternateContent>
      </w:r>
    </w:p>
    <w:p w:rsidR="00DD26FB" w:rsidRDefault="00DD26FB" w:rsidP="00DD26FB">
      <w:pPr>
        <w:rPr>
          <w:sz w:val="36"/>
        </w:rPr>
      </w:pPr>
    </w:p>
    <w:p w:rsidR="00DD26FB" w:rsidRDefault="00DD26FB" w:rsidP="00DD26FB">
      <w:pPr>
        <w:rPr>
          <w:sz w:val="36"/>
        </w:rPr>
      </w:pPr>
    </w:p>
    <w:p w:rsidR="00DD26FB" w:rsidRDefault="00DD26FB" w:rsidP="00DD26FB">
      <w:pPr>
        <w:rPr>
          <w:sz w:val="36"/>
        </w:rPr>
      </w:pPr>
    </w:p>
    <w:p w:rsidR="00DD26FB" w:rsidRDefault="00DD26FB" w:rsidP="00DD26FB">
      <w:pPr>
        <w:rPr>
          <w:sz w:val="36"/>
        </w:rPr>
      </w:pPr>
      <w:r w:rsidRPr="00BE3C1E">
        <w:rPr>
          <w:noProof/>
          <w:sz w:val="36"/>
          <w:lang w:eastAsia="es-GT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CF7F7FC" wp14:editId="1FF1444F">
                <wp:simplePos x="0" y="0"/>
                <wp:positionH relativeFrom="column">
                  <wp:posOffset>218440</wp:posOffset>
                </wp:positionH>
                <wp:positionV relativeFrom="paragraph">
                  <wp:posOffset>101790</wp:posOffset>
                </wp:positionV>
                <wp:extent cx="5628005" cy="0"/>
                <wp:effectExtent l="0" t="0" r="29845" b="19050"/>
                <wp:wrapNone/>
                <wp:docPr id="10" name="Conector rec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28005" cy="0"/>
                        </a:xfrm>
                        <a:prstGeom prst="line">
                          <a:avLst/>
                        </a:prstGeom>
                        <a:ln w="19050" cmpd="sng">
                          <a:solidFill>
                            <a:schemeClr val="bg1">
                              <a:lumMod val="50000"/>
                            </a:schemeClr>
                          </a:solidFill>
                          <a:round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0A4C66F" id="Conector recto 9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.2pt,8pt" to="460.35pt,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" strokecolor="#7f7f7f [1612]" strokeweight="1.5pt"/>
            </w:pict>
          </mc:Fallback>
        </mc:AlternateContent>
      </w:r>
    </w:p>
    <w:p w:rsidR="00DD26FB" w:rsidRDefault="00DD26FB" w:rsidP="00DD26FB">
      <w:pPr>
        <w:rPr>
          <w:sz w:val="36"/>
        </w:rPr>
      </w:pPr>
    </w:p>
    <w:p w:rsidR="00DD26FB" w:rsidRDefault="00DD26FB" w:rsidP="00DD26FB">
      <w:pPr>
        <w:rPr>
          <w:sz w:val="36"/>
        </w:rPr>
      </w:pPr>
    </w:p>
    <w:p w:rsidR="00DD26FB" w:rsidRDefault="00DD26FB" w:rsidP="00DD26FB">
      <w:pPr>
        <w:rPr>
          <w:sz w:val="36"/>
        </w:rPr>
      </w:pPr>
    </w:p>
    <w:p w:rsidR="00DD26FB" w:rsidRDefault="00DD26FB" w:rsidP="00DD26FB">
      <w:pPr>
        <w:rPr>
          <w:sz w:val="36"/>
        </w:rPr>
      </w:pPr>
    </w:p>
    <w:p w:rsidR="00AC7410" w:rsidRPr="00103C85" w:rsidRDefault="00DD26FB" w:rsidP="00103C85">
      <w:pPr>
        <w:pStyle w:val="NormalWeb"/>
        <w:shd w:val="clear" w:color="auto" w:fill="FFFFFF"/>
        <w:spacing w:before="96" w:beforeAutospacing="0" w:after="120" w:afterAutospacing="0" w:line="288" w:lineRule="atLeast"/>
        <w:jc w:val="center"/>
        <w:rPr>
          <w:rFonts w:asciiTheme="majorHAnsi" w:hAnsiTheme="majorHAnsi" w:cstheme="majorHAnsi"/>
          <w:sz w:val="30"/>
          <w:szCs w:val="30"/>
        </w:rPr>
      </w:pPr>
      <w:r>
        <w:rPr>
          <w:rFonts w:asciiTheme="majorHAnsi" w:hAnsiTheme="majorHAnsi" w:cstheme="majorHAnsi"/>
          <w:sz w:val="30"/>
          <w:szCs w:val="30"/>
        </w:rPr>
        <w:t>Vigent</w:t>
      </w:r>
      <w:r w:rsidR="00B66CC6">
        <w:rPr>
          <w:rFonts w:asciiTheme="majorHAnsi" w:hAnsiTheme="majorHAnsi" w:cstheme="majorHAnsi"/>
          <w:sz w:val="30"/>
          <w:szCs w:val="30"/>
        </w:rPr>
        <w:t>e período 2021</w:t>
      </w:r>
      <w:bookmarkStart w:id="0" w:name="_GoBack"/>
      <w:bookmarkEnd w:id="0"/>
      <w:r w:rsidR="00AC7410">
        <w:br w:type="page"/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03"/>
        <w:gridCol w:w="3579"/>
        <w:gridCol w:w="2201"/>
        <w:gridCol w:w="2208"/>
        <w:gridCol w:w="37"/>
      </w:tblGrid>
      <w:tr w:rsidR="00E77F1F" w:rsidTr="00107416">
        <w:trPr>
          <w:gridAfter w:val="1"/>
          <w:wAfter w:w="38" w:type="dxa"/>
        </w:trPr>
        <w:tc>
          <w:tcPr>
            <w:tcW w:w="4494" w:type="dxa"/>
            <w:gridSpan w:val="2"/>
          </w:tcPr>
          <w:p w:rsidR="00E77F1F" w:rsidRPr="00844167" w:rsidRDefault="00E77F1F" w:rsidP="00107416">
            <w:pPr>
              <w:jc w:val="both"/>
              <w:rPr>
                <w:b/>
                <w:lang w:val="es-MX"/>
              </w:rPr>
            </w:pPr>
            <w:r w:rsidRPr="00844167">
              <w:rPr>
                <w:b/>
                <w:lang w:val="es-MX"/>
              </w:rPr>
              <w:lastRenderedPageBreak/>
              <w:t>Asociación Deportiva Nacional de Tiro con Armas de Caza</w:t>
            </w:r>
          </w:p>
        </w:tc>
        <w:tc>
          <w:tcPr>
            <w:tcW w:w="4489" w:type="dxa"/>
            <w:gridSpan w:val="2"/>
          </w:tcPr>
          <w:p w:rsidR="00E77F1F" w:rsidRPr="00844167" w:rsidRDefault="00E77F1F" w:rsidP="00107416">
            <w:pPr>
              <w:jc w:val="right"/>
              <w:rPr>
                <w:b/>
                <w:lang w:val="es-MX"/>
              </w:rPr>
            </w:pPr>
            <w:r>
              <w:rPr>
                <w:b/>
                <w:lang w:val="es-MX"/>
              </w:rPr>
              <w:t>Páginas 3</w:t>
            </w:r>
            <w:r w:rsidRPr="00844167">
              <w:rPr>
                <w:b/>
                <w:lang w:val="es-MX"/>
              </w:rPr>
              <w:t>/</w:t>
            </w:r>
            <w:r>
              <w:rPr>
                <w:b/>
                <w:lang w:val="es-MX"/>
              </w:rPr>
              <w:t>3</w:t>
            </w:r>
          </w:p>
        </w:tc>
      </w:tr>
      <w:tr w:rsidR="00E77F1F" w:rsidTr="00107416">
        <w:trPr>
          <w:gridAfter w:val="1"/>
          <w:wAfter w:w="38" w:type="dxa"/>
        </w:trPr>
        <w:tc>
          <w:tcPr>
            <w:tcW w:w="4494" w:type="dxa"/>
            <w:gridSpan w:val="2"/>
          </w:tcPr>
          <w:p w:rsidR="00E77F1F" w:rsidRPr="00844167" w:rsidRDefault="00E77F1F" w:rsidP="00107416">
            <w:pPr>
              <w:jc w:val="both"/>
              <w:rPr>
                <w:b/>
                <w:lang w:val="es-MX"/>
              </w:rPr>
            </w:pPr>
            <w:r w:rsidRPr="00844167">
              <w:rPr>
                <w:b/>
                <w:lang w:val="es-MX"/>
              </w:rPr>
              <w:t xml:space="preserve">Procedimiento: </w:t>
            </w:r>
            <w:r>
              <w:rPr>
                <w:lang w:val="es-MX"/>
              </w:rPr>
              <w:t>De Apertura, Registro y Cancelación de Cuentas Bancarias</w:t>
            </w:r>
            <w:r>
              <w:rPr>
                <w:b/>
                <w:lang w:val="es-MX"/>
              </w:rPr>
              <w:t xml:space="preserve">  </w:t>
            </w:r>
          </w:p>
        </w:tc>
        <w:tc>
          <w:tcPr>
            <w:tcW w:w="4489" w:type="dxa"/>
            <w:gridSpan w:val="2"/>
          </w:tcPr>
          <w:p w:rsidR="00E77F1F" w:rsidRPr="00844167" w:rsidRDefault="00E77F1F" w:rsidP="00107416">
            <w:pPr>
              <w:jc w:val="both"/>
              <w:rPr>
                <w:b/>
                <w:lang w:val="es-MX"/>
              </w:rPr>
            </w:pPr>
            <w:r>
              <w:rPr>
                <w:b/>
                <w:lang w:val="es-MX"/>
              </w:rPr>
              <w:t xml:space="preserve">Objetivo: </w:t>
            </w:r>
            <w:r w:rsidRPr="007A76FF">
              <w:rPr>
                <w:lang w:val="es-MX"/>
              </w:rPr>
              <w:t xml:space="preserve">Normar el procedimiento </w:t>
            </w:r>
            <w:r>
              <w:rPr>
                <w:lang w:val="es-MX"/>
              </w:rPr>
              <w:t>que se debe seguir para la apertura, registro y cancelación de cuentas bancarias a nombre de Asociación Deportiva Nacional de Tiro con Armas de Caza.</w:t>
            </w:r>
            <w:r>
              <w:rPr>
                <w:b/>
                <w:lang w:val="es-MX"/>
              </w:rPr>
              <w:t xml:space="preserve"> </w:t>
            </w:r>
          </w:p>
        </w:tc>
      </w:tr>
      <w:tr w:rsidR="00E77F1F" w:rsidTr="00107416">
        <w:trPr>
          <w:gridAfter w:val="1"/>
          <w:wAfter w:w="38" w:type="dxa"/>
        </w:trPr>
        <w:tc>
          <w:tcPr>
            <w:tcW w:w="4494" w:type="dxa"/>
            <w:gridSpan w:val="2"/>
          </w:tcPr>
          <w:p w:rsidR="00E77F1F" w:rsidRPr="00844167" w:rsidRDefault="00E77F1F" w:rsidP="00107416">
            <w:pPr>
              <w:jc w:val="both"/>
              <w:rPr>
                <w:b/>
                <w:lang w:val="es-MX"/>
              </w:rPr>
            </w:pPr>
            <w:r>
              <w:rPr>
                <w:b/>
                <w:lang w:val="es-MX"/>
              </w:rPr>
              <w:t xml:space="preserve">Base Legal: </w:t>
            </w:r>
            <w:r>
              <w:rPr>
                <w:lang w:val="es-MX"/>
              </w:rPr>
              <w:t>Ley Orgánica del Banco de Guatemala</w:t>
            </w:r>
          </w:p>
        </w:tc>
        <w:tc>
          <w:tcPr>
            <w:tcW w:w="4489" w:type="dxa"/>
            <w:gridSpan w:val="2"/>
          </w:tcPr>
          <w:p w:rsidR="00E77F1F" w:rsidRDefault="00E77F1F" w:rsidP="00107416">
            <w:pPr>
              <w:jc w:val="both"/>
              <w:rPr>
                <w:b/>
                <w:lang w:val="es-MX"/>
              </w:rPr>
            </w:pPr>
            <w:r>
              <w:rPr>
                <w:b/>
                <w:lang w:val="es-MX"/>
              </w:rPr>
              <w:t xml:space="preserve">Responsable: </w:t>
            </w:r>
            <w:r>
              <w:rPr>
                <w:lang w:val="es-MX"/>
              </w:rPr>
              <w:t>Coordinación Administrativo Financiero</w:t>
            </w:r>
          </w:p>
        </w:tc>
      </w:tr>
      <w:tr w:rsidR="00E77F1F" w:rsidTr="00107416">
        <w:tc>
          <w:tcPr>
            <w:tcW w:w="817" w:type="dxa"/>
          </w:tcPr>
          <w:p w:rsidR="00E77F1F" w:rsidRPr="00844167" w:rsidRDefault="00E77F1F" w:rsidP="00107416">
            <w:pPr>
              <w:jc w:val="center"/>
              <w:rPr>
                <w:b/>
                <w:lang w:val="es-MX"/>
              </w:rPr>
            </w:pPr>
            <w:r w:rsidRPr="00844167">
              <w:rPr>
                <w:b/>
                <w:lang w:val="es-MX"/>
              </w:rPr>
              <w:t>No.</w:t>
            </w:r>
          </w:p>
        </w:tc>
        <w:tc>
          <w:tcPr>
            <w:tcW w:w="3677" w:type="dxa"/>
          </w:tcPr>
          <w:p w:rsidR="00E77F1F" w:rsidRPr="00844167" w:rsidRDefault="00E77F1F" w:rsidP="00107416">
            <w:pPr>
              <w:jc w:val="center"/>
              <w:rPr>
                <w:b/>
                <w:lang w:val="es-MX"/>
              </w:rPr>
            </w:pPr>
            <w:r w:rsidRPr="00844167">
              <w:rPr>
                <w:b/>
                <w:lang w:val="es-MX"/>
              </w:rPr>
              <w:t>Descripción</w:t>
            </w:r>
          </w:p>
        </w:tc>
        <w:tc>
          <w:tcPr>
            <w:tcW w:w="2245" w:type="dxa"/>
          </w:tcPr>
          <w:p w:rsidR="00E77F1F" w:rsidRPr="00844167" w:rsidRDefault="00E77F1F" w:rsidP="00107416">
            <w:pPr>
              <w:jc w:val="center"/>
              <w:rPr>
                <w:b/>
                <w:lang w:val="es-MX"/>
              </w:rPr>
            </w:pPr>
            <w:r w:rsidRPr="00844167">
              <w:rPr>
                <w:b/>
                <w:lang w:val="es-MX"/>
              </w:rPr>
              <w:t>Tiempo</w:t>
            </w:r>
          </w:p>
        </w:tc>
        <w:tc>
          <w:tcPr>
            <w:tcW w:w="2282" w:type="dxa"/>
            <w:gridSpan w:val="2"/>
          </w:tcPr>
          <w:p w:rsidR="00E77F1F" w:rsidRPr="00844167" w:rsidRDefault="00E77F1F" w:rsidP="00107416">
            <w:pPr>
              <w:jc w:val="center"/>
              <w:rPr>
                <w:b/>
                <w:lang w:val="es-MX"/>
              </w:rPr>
            </w:pPr>
            <w:r w:rsidRPr="00844167">
              <w:rPr>
                <w:b/>
                <w:lang w:val="es-MX"/>
              </w:rPr>
              <w:t>Responsable</w:t>
            </w:r>
          </w:p>
        </w:tc>
      </w:tr>
      <w:tr w:rsidR="00E77F1F" w:rsidTr="00107416">
        <w:tc>
          <w:tcPr>
            <w:tcW w:w="817" w:type="dxa"/>
          </w:tcPr>
          <w:p w:rsidR="00E77F1F" w:rsidRDefault="00E77F1F" w:rsidP="00107416">
            <w:pPr>
              <w:rPr>
                <w:lang w:val="es-MX"/>
              </w:rPr>
            </w:pPr>
            <w:r>
              <w:rPr>
                <w:lang w:val="es-MX"/>
              </w:rPr>
              <w:t>1</w:t>
            </w:r>
          </w:p>
        </w:tc>
        <w:tc>
          <w:tcPr>
            <w:tcW w:w="3677" w:type="dxa"/>
          </w:tcPr>
          <w:p w:rsidR="00E77F1F" w:rsidRDefault="00E77F1F" w:rsidP="00107416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 xml:space="preserve">Para la apertura las cuentas de depósitos monetarios en moneda nacional, se analizará el banco del sistema que ofrezca las mejores condiciones </w:t>
            </w:r>
          </w:p>
        </w:tc>
        <w:tc>
          <w:tcPr>
            <w:tcW w:w="2245" w:type="dxa"/>
          </w:tcPr>
          <w:p w:rsidR="00E77F1F" w:rsidRDefault="00E77F1F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15 minutos</w:t>
            </w:r>
          </w:p>
        </w:tc>
        <w:tc>
          <w:tcPr>
            <w:tcW w:w="2282" w:type="dxa"/>
            <w:gridSpan w:val="2"/>
          </w:tcPr>
          <w:p w:rsidR="00E77F1F" w:rsidRDefault="00E77F1F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Coordinador Administrativo Financiero</w:t>
            </w:r>
          </w:p>
        </w:tc>
      </w:tr>
      <w:tr w:rsidR="00E77F1F" w:rsidTr="00107416">
        <w:tc>
          <w:tcPr>
            <w:tcW w:w="817" w:type="dxa"/>
          </w:tcPr>
          <w:p w:rsidR="00E77F1F" w:rsidRDefault="00E77F1F" w:rsidP="00107416">
            <w:pPr>
              <w:rPr>
                <w:lang w:val="es-MX"/>
              </w:rPr>
            </w:pPr>
            <w:r>
              <w:rPr>
                <w:lang w:val="es-MX"/>
              </w:rPr>
              <w:t>2</w:t>
            </w:r>
          </w:p>
        </w:tc>
        <w:tc>
          <w:tcPr>
            <w:tcW w:w="3677" w:type="dxa"/>
          </w:tcPr>
          <w:p w:rsidR="00E77F1F" w:rsidRDefault="00E77F1F" w:rsidP="00107416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>Se propondrá al Comité Ejecutivo el banco en el que se desea abrir una cuenta monetaria y para qué fin de ASOTAC</w:t>
            </w:r>
          </w:p>
        </w:tc>
        <w:tc>
          <w:tcPr>
            <w:tcW w:w="2245" w:type="dxa"/>
          </w:tcPr>
          <w:p w:rsidR="00E77F1F" w:rsidRDefault="00E77F1F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 xml:space="preserve">15 minutos </w:t>
            </w:r>
          </w:p>
        </w:tc>
        <w:tc>
          <w:tcPr>
            <w:tcW w:w="2282" w:type="dxa"/>
            <w:gridSpan w:val="2"/>
          </w:tcPr>
          <w:p w:rsidR="00E77F1F" w:rsidRDefault="00E77F1F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Coordinador Administrativo Financiero</w:t>
            </w:r>
          </w:p>
        </w:tc>
      </w:tr>
      <w:tr w:rsidR="00E77F1F" w:rsidTr="00107416">
        <w:tc>
          <w:tcPr>
            <w:tcW w:w="817" w:type="dxa"/>
          </w:tcPr>
          <w:p w:rsidR="00E77F1F" w:rsidRDefault="00E77F1F" w:rsidP="00107416">
            <w:pPr>
              <w:rPr>
                <w:lang w:val="es-MX"/>
              </w:rPr>
            </w:pPr>
            <w:r>
              <w:rPr>
                <w:lang w:val="es-MX"/>
              </w:rPr>
              <w:t>3</w:t>
            </w:r>
          </w:p>
        </w:tc>
        <w:tc>
          <w:tcPr>
            <w:tcW w:w="3677" w:type="dxa"/>
          </w:tcPr>
          <w:p w:rsidR="00E77F1F" w:rsidRDefault="00E77F1F" w:rsidP="00107416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>Llenar la forma oficial del Banco de Guatemala para solicitar la apertura de la cuenta y se adjuntará la documentación siguiente: copia de DPI de las personas que firman, copia de Nombramiento del Representante Legal, copia de los Estatutos, copia del RTU.</w:t>
            </w:r>
          </w:p>
        </w:tc>
        <w:tc>
          <w:tcPr>
            <w:tcW w:w="2245" w:type="dxa"/>
          </w:tcPr>
          <w:p w:rsidR="00E77F1F" w:rsidRDefault="00E77F1F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30 minutos</w:t>
            </w:r>
          </w:p>
        </w:tc>
        <w:tc>
          <w:tcPr>
            <w:tcW w:w="2282" w:type="dxa"/>
            <w:gridSpan w:val="2"/>
          </w:tcPr>
          <w:p w:rsidR="00E77F1F" w:rsidRDefault="00E77F1F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Asistente Financiero</w:t>
            </w:r>
          </w:p>
        </w:tc>
      </w:tr>
      <w:tr w:rsidR="00E77F1F" w:rsidTr="00107416">
        <w:tc>
          <w:tcPr>
            <w:tcW w:w="817" w:type="dxa"/>
          </w:tcPr>
          <w:p w:rsidR="00E77F1F" w:rsidRDefault="00E77F1F" w:rsidP="00107416">
            <w:pPr>
              <w:rPr>
                <w:lang w:val="es-MX"/>
              </w:rPr>
            </w:pPr>
            <w:r>
              <w:rPr>
                <w:lang w:val="es-MX"/>
              </w:rPr>
              <w:t>4</w:t>
            </w:r>
          </w:p>
        </w:tc>
        <w:tc>
          <w:tcPr>
            <w:tcW w:w="3677" w:type="dxa"/>
          </w:tcPr>
          <w:p w:rsidR="00E77F1F" w:rsidRDefault="00E77F1F" w:rsidP="00107416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 xml:space="preserve">Se elabora Oficio para remitir la solicitud y documentación de respaldo </w:t>
            </w:r>
          </w:p>
        </w:tc>
        <w:tc>
          <w:tcPr>
            <w:tcW w:w="2245" w:type="dxa"/>
          </w:tcPr>
          <w:p w:rsidR="00E77F1F" w:rsidRDefault="00E77F1F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15 minutos</w:t>
            </w:r>
          </w:p>
        </w:tc>
        <w:tc>
          <w:tcPr>
            <w:tcW w:w="2282" w:type="dxa"/>
            <w:gridSpan w:val="2"/>
          </w:tcPr>
          <w:p w:rsidR="00E77F1F" w:rsidRDefault="00E77F1F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Gerente General</w:t>
            </w:r>
          </w:p>
        </w:tc>
      </w:tr>
      <w:tr w:rsidR="00E77F1F" w:rsidTr="00107416">
        <w:tc>
          <w:tcPr>
            <w:tcW w:w="817" w:type="dxa"/>
          </w:tcPr>
          <w:p w:rsidR="00E77F1F" w:rsidRDefault="00E77F1F" w:rsidP="00107416">
            <w:pPr>
              <w:rPr>
                <w:lang w:val="es-MX"/>
              </w:rPr>
            </w:pPr>
            <w:r>
              <w:rPr>
                <w:lang w:val="es-MX"/>
              </w:rPr>
              <w:t>5</w:t>
            </w:r>
          </w:p>
        </w:tc>
        <w:tc>
          <w:tcPr>
            <w:tcW w:w="3677" w:type="dxa"/>
          </w:tcPr>
          <w:p w:rsidR="00E77F1F" w:rsidRDefault="00E77F1F" w:rsidP="00107416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>El Banco de Guatemala, resolverá si autoriza la apertura de la cuenta y notificará a ASOTAC</w:t>
            </w:r>
          </w:p>
        </w:tc>
        <w:tc>
          <w:tcPr>
            <w:tcW w:w="2245" w:type="dxa"/>
          </w:tcPr>
          <w:p w:rsidR="00E77F1F" w:rsidRDefault="00E77F1F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15 minutos</w:t>
            </w:r>
          </w:p>
        </w:tc>
        <w:tc>
          <w:tcPr>
            <w:tcW w:w="2282" w:type="dxa"/>
            <w:gridSpan w:val="2"/>
          </w:tcPr>
          <w:p w:rsidR="00E77F1F" w:rsidRDefault="00E77F1F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Banco de Guatemala</w:t>
            </w:r>
          </w:p>
        </w:tc>
      </w:tr>
      <w:tr w:rsidR="00E77F1F" w:rsidTr="00107416">
        <w:tc>
          <w:tcPr>
            <w:tcW w:w="817" w:type="dxa"/>
          </w:tcPr>
          <w:p w:rsidR="00E77F1F" w:rsidRDefault="00E77F1F" w:rsidP="00107416">
            <w:pPr>
              <w:rPr>
                <w:lang w:val="es-MX"/>
              </w:rPr>
            </w:pPr>
            <w:r>
              <w:rPr>
                <w:lang w:val="es-MX"/>
              </w:rPr>
              <w:t>6</w:t>
            </w:r>
          </w:p>
        </w:tc>
        <w:tc>
          <w:tcPr>
            <w:tcW w:w="3677" w:type="dxa"/>
          </w:tcPr>
          <w:p w:rsidR="00E77F1F" w:rsidRDefault="00E77F1F" w:rsidP="00107416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 xml:space="preserve">Al contar con la autorización de la apertura del Banco de Guatemala, se procederá a realizar el llenado de las formas bancarias y firma de tarjetas de registro de firmas con la documentación de respaldo </w:t>
            </w:r>
          </w:p>
        </w:tc>
        <w:tc>
          <w:tcPr>
            <w:tcW w:w="2245" w:type="dxa"/>
          </w:tcPr>
          <w:p w:rsidR="00E77F1F" w:rsidRDefault="00E77F1F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15 minutos</w:t>
            </w:r>
          </w:p>
        </w:tc>
        <w:tc>
          <w:tcPr>
            <w:tcW w:w="2282" w:type="dxa"/>
            <w:gridSpan w:val="2"/>
          </w:tcPr>
          <w:p w:rsidR="00E77F1F" w:rsidRDefault="00E77F1F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Asistente Financiero</w:t>
            </w:r>
          </w:p>
        </w:tc>
      </w:tr>
      <w:tr w:rsidR="00E77F1F" w:rsidTr="00107416">
        <w:tc>
          <w:tcPr>
            <w:tcW w:w="817" w:type="dxa"/>
          </w:tcPr>
          <w:p w:rsidR="00E77F1F" w:rsidRDefault="00E77F1F" w:rsidP="00107416">
            <w:pPr>
              <w:rPr>
                <w:lang w:val="es-MX"/>
              </w:rPr>
            </w:pPr>
            <w:r>
              <w:rPr>
                <w:lang w:val="es-MX"/>
              </w:rPr>
              <w:t>7</w:t>
            </w:r>
          </w:p>
        </w:tc>
        <w:tc>
          <w:tcPr>
            <w:tcW w:w="3677" w:type="dxa"/>
          </w:tcPr>
          <w:p w:rsidR="00E77F1F" w:rsidRDefault="00E77F1F" w:rsidP="00107416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 xml:space="preserve">Aprobada la apertura de la cuenta en el banco del sistema, se procederá a notificar a la Tesorería Nacional del Ministerio de Finanzas Públicas </w:t>
            </w:r>
          </w:p>
        </w:tc>
        <w:tc>
          <w:tcPr>
            <w:tcW w:w="2245" w:type="dxa"/>
          </w:tcPr>
          <w:p w:rsidR="00E77F1F" w:rsidRDefault="00E77F1F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15 minutos</w:t>
            </w:r>
          </w:p>
        </w:tc>
        <w:tc>
          <w:tcPr>
            <w:tcW w:w="2282" w:type="dxa"/>
            <w:gridSpan w:val="2"/>
          </w:tcPr>
          <w:p w:rsidR="00E77F1F" w:rsidRDefault="00E77F1F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Gerente General</w:t>
            </w:r>
          </w:p>
        </w:tc>
      </w:tr>
      <w:tr w:rsidR="00E77F1F" w:rsidTr="00107416">
        <w:tc>
          <w:tcPr>
            <w:tcW w:w="817" w:type="dxa"/>
          </w:tcPr>
          <w:p w:rsidR="00E77F1F" w:rsidRDefault="00E77F1F" w:rsidP="00107416">
            <w:pPr>
              <w:rPr>
                <w:lang w:val="es-MX"/>
              </w:rPr>
            </w:pPr>
            <w:r>
              <w:rPr>
                <w:lang w:val="es-MX"/>
              </w:rPr>
              <w:t>8</w:t>
            </w:r>
          </w:p>
        </w:tc>
        <w:tc>
          <w:tcPr>
            <w:tcW w:w="3677" w:type="dxa"/>
          </w:tcPr>
          <w:p w:rsidR="00E77F1F" w:rsidRDefault="00E77F1F" w:rsidP="00107416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 xml:space="preserve">Solicitar la habilitación de hojas móviles  para  los  registros  de  la cuenta  bancaria  y  hojas móviles  para  la  elaboración  de  </w:t>
            </w:r>
            <w:r>
              <w:rPr>
                <w:lang w:val="es-MX"/>
              </w:rPr>
              <w:lastRenderedPageBreak/>
              <w:t>conciliaciones bancarias a la Contraloría General de Cuentas  para su control</w:t>
            </w:r>
          </w:p>
        </w:tc>
        <w:tc>
          <w:tcPr>
            <w:tcW w:w="2245" w:type="dxa"/>
          </w:tcPr>
          <w:p w:rsidR="00E77F1F" w:rsidRDefault="00E77F1F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lastRenderedPageBreak/>
              <w:t>15 minutos</w:t>
            </w:r>
          </w:p>
        </w:tc>
        <w:tc>
          <w:tcPr>
            <w:tcW w:w="2282" w:type="dxa"/>
            <w:gridSpan w:val="2"/>
          </w:tcPr>
          <w:p w:rsidR="00E77F1F" w:rsidRDefault="00E77F1F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Gerente General</w:t>
            </w:r>
          </w:p>
        </w:tc>
      </w:tr>
      <w:tr w:rsidR="00E77F1F" w:rsidTr="00107416">
        <w:tc>
          <w:tcPr>
            <w:tcW w:w="817" w:type="dxa"/>
          </w:tcPr>
          <w:p w:rsidR="00E77F1F" w:rsidRDefault="00E77F1F" w:rsidP="00107416">
            <w:pPr>
              <w:rPr>
                <w:lang w:val="es-MX"/>
              </w:rPr>
            </w:pPr>
            <w:r>
              <w:rPr>
                <w:lang w:val="es-MX"/>
              </w:rPr>
              <w:t>9</w:t>
            </w:r>
          </w:p>
        </w:tc>
        <w:tc>
          <w:tcPr>
            <w:tcW w:w="3677" w:type="dxa"/>
          </w:tcPr>
          <w:p w:rsidR="00E77F1F" w:rsidRDefault="00E77F1F" w:rsidP="00107416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>Toda operación de depósito, transferencia, intereses, pago de cheques y notas de débito, crédito y conciliaciones bancarias deberán quedar registradas en las hojas habilitadas</w:t>
            </w:r>
          </w:p>
        </w:tc>
        <w:tc>
          <w:tcPr>
            <w:tcW w:w="2245" w:type="dxa"/>
          </w:tcPr>
          <w:p w:rsidR="00E77F1F" w:rsidRDefault="00E77F1F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30 minutos</w:t>
            </w:r>
          </w:p>
        </w:tc>
        <w:tc>
          <w:tcPr>
            <w:tcW w:w="2282" w:type="dxa"/>
            <w:gridSpan w:val="2"/>
          </w:tcPr>
          <w:p w:rsidR="00E77F1F" w:rsidRDefault="00E77F1F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Asistente Financiero</w:t>
            </w:r>
          </w:p>
          <w:p w:rsidR="00E77F1F" w:rsidRDefault="00E77F1F" w:rsidP="00107416">
            <w:pPr>
              <w:jc w:val="center"/>
              <w:rPr>
                <w:lang w:val="es-MX"/>
              </w:rPr>
            </w:pPr>
          </w:p>
        </w:tc>
      </w:tr>
      <w:tr w:rsidR="00E77F1F" w:rsidTr="00107416">
        <w:tc>
          <w:tcPr>
            <w:tcW w:w="817" w:type="dxa"/>
          </w:tcPr>
          <w:p w:rsidR="00E77F1F" w:rsidRDefault="00E77F1F" w:rsidP="00107416">
            <w:pPr>
              <w:rPr>
                <w:lang w:val="es-MX"/>
              </w:rPr>
            </w:pPr>
            <w:r>
              <w:rPr>
                <w:lang w:val="es-MX"/>
              </w:rPr>
              <w:t>10</w:t>
            </w:r>
          </w:p>
        </w:tc>
        <w:tc>
          <w:tcPr>
            <w:tcW w:w="3677" w:type="dxa"/>
          </w:tcPr>
          <w:p w:rsidR="00E77F1F" w:rsidRDefault="00E77F1F" w:rsidP="00107416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>Todas las operaciones de ingresos y egresos que se efectúen en la cuenta monetaria deberán quedar reflejadas en la caja fiscal del mes correspondiente</w:t>
            </w:r>
          </w:p>
        </w:tc>
        <w:tc>
          <w:tcPr>
            <w:tcW w:w="2245" w:type="dxa"/>
          </w:tcPr>
          <w:p w:rsidR="00E77F1F" w:rsidRDefault="00E77F1F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15 minutos</w:t>
            </w:r>
          </w:p>
        </w:tc>
        <w:tc>
          <w:tcPr>
            <w:tcW w:w="2282" w:type="dxa"/>
            <w:gridSpan w:val="2"/>
          </w:tcPr>
          <w:p w:rsidR="00E77F1F" w:rsidRDefault="00E77F1F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Coordinador Administrativo Financiero</w:t>
            </w:r>
          </w:p>
        </w:tc>
      </w:tr>
      <w:tr w:rsidR="00E77F1F" w:rsidTr="00107416">
        <w:tc>
          <w:tcPr>
            <w:tcW w:w="817" w:type="dxa"/>
          </w:tcPr>
          <w:p w:rsidR="00E77F1F" w:rsidRDefault="00E77F1F" w:rsidP="00107416">
            <w:pPr>
              <w:rPr>
                <w:lang w:val="es-MX"/>
              </w:rPr>
            </w:pPr>
            <w:r>
              <w:rPr>
                <w:lang w:val="es-MX"/>
              </w:rPr>
              <w:t>11</w:t>
            </w:r>
          </w:p>
        </w:tc>
        <w:tc>
          <w:tcPr>
            <w:tcW w:w="3677" w:type="dxa"/>
          </w:tcPr>
          <w:p w:rsidR="00E77F1F" w:rsidRDefault="00E77F1F" w:rsidP="00107416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>Cada año se deberá de revisar la utilización de las cuentas monetarias habilitadas y autorizadas y de no estar utilizando se deberá proponer la cancelación de la misma</w:t>
            </w:r>
            <w:r w:rsidRPr="00CC4BB7">
              <w:rPr>
                <w:lang w:val="es-MX"/>
              </w:rPr>
              <w:t xml:space="preserve"> </w:t>
            </w:r>
          </w:p>
        </w:tc>
        <w:tc>
          <w:tcPr>
            <w:tcW w:w="2245" w:type="dxa"/>
          </w:tcPr>
          <w:p w:rsidR="00E77F1F" w:rsidRDefault="00E77F1F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10 minutos</w:t>
            </w:r>
          </w:p>
        </w:tc>
        <w:tc>
          <w:tcPr>
            <w:tcW w:w="2282" w:type="dxa"/>
            <w:gridSpan w:val="2"/>
          </w:tcPr>
          <w:p w:rsidR="00E77F1F" w:rsidRDefault="00E77F1F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Asistente Financiero</w:t>
            </w:r>
          </w:p>
        </w:tc>
      </w:tr>
      <w:tr w:rsidR="00E77F1F" w:rsidTr="00107416">
        <w:tc>
          <w:tcPr>
            <w:tcW w:w="817" w:type="dxa"/>
          </w:tcPr>
          <w:p w:rsidR="00E77F1F" w:rsidRDefault="00E77F1F" w:rsidP="00107416">
            <w:pPr>
              <w:rPr>
                <w:lang w:val="es-MX"/>
              </w:rPr>
            </w:pPr>
            <w:r>
              <w:rPr>
                <w:lang w:val="es-MX"/>
              </w:rPr>
              <w:t>12</w:t>
            </w:r>
          </w:p>
        </w:tc>
        <w:tc>
          <w:tcPr>
            <w:tcW w:w="3677" w:type="dxa"/>
          </w:tcPr>
          <w:p w:rsidR="00E77F1F" w:rsidRDefault="00E77F1F" w:rsidP="00107416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>Para cancelar las cuentas monetarias se deberá solicitar por escrito al banco del sistema que indica cual es el procedimiento interno para realizarlo</w:t>
            </w:r>
          </w:p>
        </w:tc>
        <w:tc>
          <w:tcPr>
            <w:tcW w:w="2245" w:type="dxa"/>
          </w:tcPr>
          <w:p w:rsidR="00E77F1F" w:rsidRDefault="00E77F1F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15 minutos</w:t>
            </w:r>
          </w:p>
        </w:tc>
        <w:tc>
          <w:tcPr>
            <w:tcW w:w="2282" w:type="dxa"/>
            <w:gridSpan w:val="2"/>
          </w:tcPr>
          <w:p w:rsidR="00E77F1F" w:rsidRDefault="00E77F1F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Asistente Financiero</w:t>
            </w:r>
          </w:p>
        </w:tc>
      </w:tr>
      <w:tr w:rsidR="00E77F1F" w:rsidTr="00107416">
        <w:tc>
          <w:tcPr>
            <w:tcW w:w="817" w:type="dxa"/>
          </w:tcPr>
          <w:p w:rsidR="00E77F1F" w:rsidRDefault="00E77F1F" w:rsidP="00107416">
            <w:pPr>
              <w:rPr>
                <w:lang w:val="es-MX"/>
              </w:rPr>
            </w:pPr>
            <w:r>
              <w:rPr>
                <w:lang w:val="es-MX"/>
              </w:rPr>
              <w:t>13</w:t>
            </w:r>
          </w:p>
        </w:tc>
        <w:tc>
          <w:tcPr>
            <w:tcW w:w="3677" w:type="dxa"/>
          </w:tcPr>
          <w:p w:rsidR="00E77F1F" w:rsidRDefault="00E77F1F" w:rsidP="00107416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 xml:space="preserve">Se documentará y se cumplirán los requisitos para la cancelación de la cuenta monetaria </w:t>
            </w:r>
          </w:p>
        </w:tc>
        <w:tc>
          <w:tcPr>
            <w:tcW w:w="2245" w:type="dxa"/>
          </w:tcPr>
          <w:p w:rsidR="00E77F1F" w:rsidRDefault="00E77F1F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15 minutos</w:t>
            </w:r>
          </w:p>
        </w:tc>
        <w:tc>
          <w:tcPr>
            <w:tcW w:w="2282" w:type="dxa"/>
            <w:gridSpan w:val="2"/>
          </w:tcPr>
          <w:p w:rsidR="00E77F1F" w:rsidRDefault="00E77F1F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Asistente Financiero</w:t>
            </w:r>
          </w:p>
        </w:tc>
      </w:tr>
      <w:tr w:rsidR="00E77F1F" w:rsidTr="00107416">
        <w:tc>
          <w:tcPr>
            <w:tcW w:w="817" w:type="dxa"/>
          </w:tcPr>
          <w:p w:rsidR="00E77F1F" w:rsidRDefault="00E77F1F" w:rsidP="00107416">
            <w:pPr>
              <w:rPr>
                <w:lang w:val="es-MX"/>
              </w:rPr>
            </w:pPr>
            <w:r>
              <w:rPr>
                <w:lang w:val="es-MX"/>
              </w:rPr>
              <w:t>14</w:t>
            </w:r>
          </w:p>
        </w:tc>
        <w:tc>
          <w:tcPr>
            <w:tcW w:w="3677" w:type="dxa"/>
          </w:tcPr>
          <w:p w:rsidR="00E77F1F" w:rsidRDefault="00E77F1F" w:rsidP="00107416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>Con la nota de autorizado la cancelación de cuenta monetaria se notificará a la Tesorería Nacional del Ministerio de Finanzas Públicas y al Banco de Guatemala</w:t>
            </w:r>
          </w:p>
        </w:tc>
        <w:tc>
          <w:tcPr>
            <w:tcW w:w="2245" w:type="dxa"/>
          </w:tcPr>
          <w:p w:rsidR="00E77F1F" w:rsidRDefault="00E77F1F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15 minutos</w:t>
            </w:r>
          </w:p>
        </w:tc>
        <w:tc>
          <w:tcPr>
            <w:tcW w:w="2282" w:type="dxa"/>
            <w:gridSpan w:val="2"/>
          </w:tcPr>
          <w:p w:rsidR="00E77F1F" w:rsidRDefault="00E77F1F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Gerente General</w:t>
            </w:r>
          </w:p>
        </w:tc>
      </w:tr>
      <w:tr w:rsidR="00E77F1F" w:rsidTr="00107416">
        <w:tc>
          <w:tcPr>
            <w:tcW w:w="817" w:type="dxa"/>
          </w:tcPr>
          <w:p w:rsidR="00E77F1F" w:rsidRDefault="00E77F1F" w:rsidP="00107416">
            <w:pPr>
              <w:rPr>
                <w:lang w:val="es-MX"/>
              </w:rPr>
            </w:pPr>
            <w:r>
              <w:rPr>
                <w:lang w:val="es-MX"/>
              </w:rPr>
              <w:t>15</w:t>
            </w:r>
          </w:p>
        </w:tc>
        <w:tc>
          <w:tcPr>
            <w:tcW w:w="3677" w:type="dxa"/>
          </w:tcPr>
          <w:p w:rsidR="00E77F1F" w:rsidRDefault="00E77F1F" w:rsidP="00107416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>Se notificará a la Contraloría General de Cuentas y se deberá realizar la liquidación de las hojas móviles utilizadas y las pendientes de utilizar</w:t>
            </w:r>
          </w:p>
        </w:tc>
        <w:tc>
          <w:tcPr>
            <w:tcW w:w="2245" w:type="dxa"/>
          </w:tcPr>
          <w:p w:rsidR="00E77F1F" w:rsidRDefault="00E77F1F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30 minutos</w:t>
            </w:r>
          </w:p>
        </w:tc>
        <w:tc>
          <w:tcPr>
            <w:tcW w:w="2282" w:type="dxa"/>
            <w:gridSpan w:val="2"/>
          </w:tcPr>
          <w:p w:rsidR="00E77F1F" w:rsidRDefault="00E77F1F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Coordinador Administrativo Financiero</w:t>
            </w:r>
          </w:p>
        </w:tc>
      </w:tr>
      <w:tr w:rsidR="00E77F1F" w:rsidTr="00107416">
        <w:tc>
          <w:tcPr>
            <w:tcW w:w="817" w:type="dxa"/>
          </w:tcPr>
          <w:p w:rsidR="00E77F1F" w:rsidRDefault="00E77F1F" w:rsidP="00107416">
            <w:pPr>
              <w:rPr>
                <w:lang w:val="es-MX"/>
              </w:rPr>
            </w:pPr>
            <w:r>
              <w:rPr>
                <w:lang w:val="es-MX"/>
              </w:rPr>
              <w:t>16</w:t>
            </w:r>
          </w:p>
        </w:tc>
        <w:tc>
          <w:tcPr>
            <w:tcW w:w="3677" w:type="dxa"/>
          </w:tcPr>
          <w:p w:rsidR="00E77F1F" w:rsidRDefault="00E77F1F" w:rsidP="00107416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 xml:space="preserve">Se resguardará el archivo de todas las gestiones realizadas para la cuenta monetaria para futuras consultas </w:t>
            </w:r>
          </w:p>
        </w:tc>
        <w:tc>
          <w:tcPr>
            <w:tcW w:w="2245" w:type="dxa"/>
          </w:tcPr>
          <w:p w:rsidR="00E77F1F" w:rsidRDefault="00E77F1F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15 minutos</w:t>
            </w:r>
          </w:p>
        </w:tc>
        <w:tc>
          <w:tcPr>
            <w:tcW w:w="2282" w:type="dxa"/>
            <w:gridSpan w:val="2"/>
          </w:tcPr>
          <w:p w:rsidR="00E77F1F" w:rsidRDefault="00E77F1F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Asistente Financiero</w:t>
            </w:r>
          </w:p>
        </w:tc>
      </w:tr>
    </w:tbl>
    <w:p w:rsidR="00D607BA" w:rsidRDefault="00D607BA">
      <w:pPr>
        <w:rPr>
          <w:lang w:val="es-MX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943"/>
        <w:gridCol w:w="2941"/>
        <w:gridCol w:w="2944"/>
      </w:tblGrid>
      <w:tr w:rsidR="00E77F1F" w:rsidTr="00E77F1F">
        <w:tc>
          <w:tcPr>
            <w:tcW w:w="2943" w:type="dxa"/>
          </w:tcPr>
          <w:p w:rsidR="00E77F1F" w:rsidRDefault="00E77F1F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Elaborado:</w:t>
            </w:r>
          </w:p>
          <w:p w:rsidR="00E77F1F" w:rsidRDefault="00E77F1F" w:rsidP="00107416">
            <w:pPr>
              <w:jc w:val="center"/>
              <w:rPr>
                <w:lang w:val="es-MX"/>
              </w:rPr>
            </w:pPr>
          </w:p>
          <w:p w:rsidR="00E77F1F" w:rsidRDefault="00E77F1F" w:rsidP="00107416">
            <w:pPr>
              <w:jc w:val="center"/>
              <w:rPr>
                <w:lang w:val="es-MX"/>
              </w:rPr>
            </w:pPr>
          </w:p>
        </w:tc>
        <w:tc>
          <w:tcPr>
            <w:tcW w:w="2941" w:type="dxa"/>
          </w:tcPr>
          <w:p w:rsidR="00E77F1F" w:rsidRDefault="00E77F1F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Revisado:</w:t>
            </w:r>
          </w:p>
        </w:tc>
        <w:tc>
          <w:tcPr>
            <w:tcW w:w="2944" w:type="dxa"/>
          </w:tcPr>
          <w:p w:rsidR="00E77F1F" w:rsidRDefault="00E77F1F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Aprobado:</w:t>
            </w:r>
          </w:p>
          <w:p w:rsidR="00E77F1F" w:rsidRDefault="00E77F1F" w:rsidP="00107416">
            <w:pPr>
              <w:jc w:val="center"/>
              <w:rPr>
                <w:lang w:val="es-MX"/>
              </w:rPr>
            </w:pPr>
          </w:p>
          <w:p w:rsidR="00E77F1F" w:rsidRDefault="00E77F1F" w:rsidP="00107416">
            <w:pPr>
              <w:jc w:val="center"/>
              <w:rPr>
                <w:lang w:val="es-MX"/>
              </w:rPr>
            </w:pPr>
          </w:p>
          <w:p w:rsidR="00E77F1F" w:rsidRDefault="00E77F1F" w:rsidP="00107416">
            <w:pPr>
              <w:jc w:val="center"/>
              <w:rPr>
                <w:lang w:val="es-MX"/>
              </w:rPr>
            </w:pPr>
          </w:p>
          <w:p w:rsidR="00E77F1F" w:rsidRDefault="00E77F1F" w:rsidP="00107416">
            <w:pPr>
              <w:jc w:val="center"/>
              <w:rPr>
                <w:lang w:val="es-MX"/>
              </w:rPr>
            </w:pPr>
          </w:p>
        </w:tc>
      </w:tr>
    </w:tbl>
    <w:p w:rsidR="00E77F1F" w:rsidRPr="00C67EB2" w:rsidRDefault="00E77F1F" w:rsidP="00E77F1F">
      <w:pPr>
        <w:rPr>
          <w:sz w:val="2"/>
          <w:szCs w:val="2"/>
          <w:lang w:val="es-MX"/>
        </w:rPr>
      </w:pPr>
    </w:p>
    <w:p w:rsidR="00D607BA" w:rsidRDefault="00D607BA">
      <w:pPr>
        <w:rPr>
          <w:lang w:val="es-MX"/>
        </w:rPr>
      </w:pPr>
    </w:p>
    <w:p w:rsidR="00D607BA" w:rsidRDefault="00E77F1F" w:rsidP="00E77F1F">
      <w:pPr>
        <w:spacing w:after="0" w:line="240" w:lineRule="auto"/>
        <w:rPr>
          <w:lang w:val="es-MX"/>
        </w:rPr>
      </w:pPr>
      <w:r w:rsidRPr="00E77F1F">
        <w:rPr>
          <w:noProof/>
          <w:lang w:eastAsia="es-GT"/>
        </w:rPr>
        <w:lastRenderedPageBreak/>
        <w:drawing>
          <wp:inline distT="0" distB="0" distL="0" distR="0">
            <wp:extent cx="6373984" cy="8576758"/>
            <wp:effectExtent l="0" t="0" r="825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0192" cy="8585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607BA" w:rsidSect="00BC7001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F0955B5"/>
    <w:multiLevelType w:val="hybridMultilevel"/>
    <w:tmpl w:val="89D4121E"/>
    <w:lvl w:ilvl="0" w:tplc="100A000F">
      <w:start w:val="1"/>
      <w:numFmt w:val="decimal"/>
      <w:lvlText w:val="%1."/>
      <w:lvlJc w:val="left"/>
      <w:pPr>
        <w:ind w:left="720" w:hanging="36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4167"/>
    <w:rsid w:val="00023C4E"/>
    <w:rsid w:val="00023D2A"/>
    <w:rsid w:val="00103C85"/>
    <w:rsid w:val="00130709"/>
    <w:rsid w:val="001362BB"/>
    <w:rsid w:val="0017452E"/>
    <w:rsid w:val="00227ED8"/>
    <w:rsid w:val="00253D23"/>
    <w:rsid w:val="0031047A"/>
    <w:rsid w:val="003A4BAB"/>
    <w:rsid w:val="003A5EB7"/>
    <w:rsid w:val="003C1AE5"/>
    <w:rsid w:val="003F609C"/>
    <w:rsid w:val="00464BBF"/>
    <w:rsid w:val="004D1B4C"/>
    <w:rsid w:val="004E40BD"/>
    <w:rsid w:val="004E71CE"/>
    <w:rsid w:val="00502744"/>
    <w:rsid w:val="005D26B2"/>
    <w:rsid w:val="005E5B8A"/>
    <w:rsid w:val="00625242"/>
    <w:rsid w:val="00663E10"/>
    <w:rsid w:val="006819AF"/>
    <w:rsid w:val="00695905"/>
    <w:rsid w:val="006A1D6D"/>
    <w:rsid w:val="006B7B2D"/>
    <w:rsid w:val="006E2ACD"/>
    <w:rsid w:val="00743CA8"/>
    <w:rsid w:val="007D1792"/>
    <w:rsid w:val="007E0031"/>
    <w:rsid w:val="007F184D"/>
    <w:rsid w:val="00812A7F"/>
    <w:rsid w:val="00844167"/>
    <w:rsid w:val="008D0548"/>
    <w:rsid w:val="008E48BC"/>
    <w:rsid w:val="008F58F7"/>
    <w:rsid w:val="009823C5"/>
    <w:rsid w:val="009D5362"/>
    <w:rsid w:val="009F3F43"/>
    <w:rsid w:val="00A568A5"/>
    <w:rsid w:val="00A766EF"/>
    <w:rsid w:val="00A83CED"/>
    <w:rsid w:val="00A95013"/>
    <w:rsid w:val="00A950B8"/>
    <w:rsid w:val="00AC7410"/>
    <w:rsid w:val="00B24B3B"/>
    <w:rsid w:val="00B50391"/>
    <w:rsid w:val="00B66CC6"/>
    <w:rsid w:val="00BC7001"/>
    <w:rsid w:val="00BD1D61"/>
    <w:rsid w:val="00C36519"/>
    <w:rsid w:val="00C65DEF"/>
    <w:rsid w:val="00C71F6F"/>
    <w:rsid w:val="00C77A2D"/>
    <w:rsid w:val="00CB299C"/>
    <w:rsid w:val="00CB4B01"/>
    <w:rsid w:val="00CC5CC0"/>
    <w:rsid w:val="00D607BA"/>
    <w:rsid w:val="00DA5245"/>
    <w:rsid w:val="00DD26FB"/>
    <w:rsid w:val="00DD79C9"/>
    <w:rsid w:val="00E576C5"/>
    <w:rsid w:val="00E60AD3"/>
    <w:rsid w:val="00E7640B"/>
    <w:rsid w:val="00E77F1F"/>
    <w:rsid w:val="00E9200B"/>
    <w:rsid w:val="00EF074D"/>
    <w:rsid w:val="00F17160"/>
    <w:rsid w:val="00F949ED"/>
    <w:rsid w:val="00FA332F"/>
    <w:rsid w:val="00FD48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087B1AC8-3BAF-4DA6-83B4-46913A9750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700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8441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DA52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GT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A52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A5245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3C1AE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815D0B-3A7A-4469-81F5-6CAFDD99BE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547</Words>
  <Characters>3011</Characters>
  <Application>Microsoft Office Word</Application>
  <DocSecurity>0</DocSecurity>
  <Lines>25</Lines>
  <Paragraphs>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Toshiba</Company>
  <LinksUpToDate>false</LinksUpToDate>
  <CharactersWithSpaces>3551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edgar</dc:creator>
  <cp:lastModifiedBy>Vivi</cp:lastModifiedBy>
  <cp:revision>2</cp:revision>
  <cp:lastPrinted>2014-10-03T18:11:00Z</cp:lastPrinted>
  <dcterms:created xsi:type="dcterms:W3CDTF">2021-07-22T17:37:00Z</dcterms:created>
  <dcterms:modified xsi:type="dcterms:W3CDTF">2021-07-22T17:37:00Z</dcterms:modified>
</cp:coreProperties>
</file>